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C155D55" w:rsidR="00C57FA5" w:rsidRPr="00327CC1" w:rsidRDefault="00E16A7E">
      <w:pPr>
        <w:jc w:val="center"/>
        <w:rPr>
          <w:rFonts w:ascii="Arial" w:hAnsi="Arial" w:cs="Arial"/>
          <w:b/>
          <w:bCs/>
        </w:rPr>
      </w:pPr>
      <w:r>
        <w:rPr>
          <w:rFonts w:ascii="Arial" w:hAnsi="Arial" w:cs="Arial"/>
          <w:b/>
          <w:bCs/>
        </w:rPr>
        <w:t>Dány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E16A7E"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592A8AA9"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r w:rsidR="00E16A7E">
        <w:rPr>
          <w:rFonts w:ascii="Arial" w:hAnsi="Arial" w:cs="Arial"/>
          <w:b/>
          <w:bCs/>
          <w:sz w:val="22"/>
          <w:szCs w:val="22"/>
        </w:rPr>
        <w:t xml:space="preserve"> </w:t>
      </w:r>
    </w:p>
    <w:p w14:paraId="28106B22" w14:textId="77777777" w:rsidR="00E16A7E" w:rsidRPr="00AE164D" w:rsidRDefault="00E16A7E" w:rsidP="00E16A7E">
      <w:pPr>
        <w:numPr>
          <w:ilvl w:val="0"/>
          <w:numId w:val="7"/>
        </w:numPr>
        <w:jc w:val="both"/>
        <w:rPr>
          <w:rFonts w:ascii="Arial" w:hAnsi="Arial" w:cs="Arial"/>
          <w:bCs/>
          <w:sz w:val="22"/>
          <w:szCs w:val="22"/>
        </w:rPr>
      </w:pPr>
      <w:r w:rsidRPr="00AE164D">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7FFB7834"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16A7E">
        <w:rPr>
          <w:rFonts w:ascii="Arial" w:hAnsi="Arial" w:cs="Arial"/>
          <w:sz w:val="22"/>
          <w:szCs w:val="22"/>
        </w:rPr>
        <w:t>8</w:t>
      </w:r>
      <w:bookmarkStart w:id="0" w:name="_GoBack"/>
      <w:bookmarkEnd w:id="0"/>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81D7B2D"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16A7E">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16A7E"/>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87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821D-6836-4384-B057-68583BB7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2769</Words>
  <Characters>20438</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23161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2014-06-20T15:38:00Z</cp:lastPrinted>
  <dcterms:created xsi:type="dcterms:W3CDTF">2020-09-30T14:01:00Z</dcterms:created>
  <dcterms:modified xsi:type="dcterms:W3CDTF">2020-09-30T14:01:00Z</dcterms:modified>
</cp:coreProperties>
</file>